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DC6D8A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DC6D8A">
        <w:rPr>
          <w:rFonts w:ascii="CG Times" w:hAnsi="CG Times"/>
          <w:sz w:val="22"/>
          <w:u w:val="single"/>
        </w:rPr>
        <w:t>11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D354E2">
        <w:rPr>
          <w:rFonts w:ascii="CG Times" w:hAnsi="CG Times"/>
          <w:sz w:val="22"/>
          <w:u w:val="single"/>
        </w:rPr>
        <w:t>0</w:t>
      </w:r>
      <w:r w:rsidR="00DC6D8A">
        <w:rPr>
          <w:rFonts w:ascii="CG Times" w:hAnsi="CG Times"/>
          <w:sz w:val="22"/>
          <w:u w:val="single"/>
        </w:rPr>
        <w:t>1</w:t>
      </w:r>
      <w:r w:rsidR="00315C0C">
        <w:rPr>
          <w:rFonts w:ascii="CG Times" w:hAnsi="CG Times"/>
          <w:sz w:val="22"/>
          <w:u w:val="single"/>
        </w:rPr>
        <w:t>9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3B7136" w:rsidRDefault="00F71BFB" w:rsidP="00004F44">
      <w:pPr>
        <w:ind w:right="72" w:firstLine="303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DC6D8A">
        <w:rPr>
          <w:rFonts w:ascii="CG Times" w:hAnsi="CG Times"/>
          <w:b/>
          <w:szCs w:val="24"/>
        </w:rPr>
        <w:t>10.508</w:t>
      </w:r>
      <w:r w:rsidR="000352D6">
        <w:rPr>
          <w:rFonts w:ascii="CG Times" w:hAnsi="CG Times"/>
          <w:b/>
          <w:szCs w:val="24"/>
        </w:rPr>
        <w:tab/>
      </w:r>
      <w:r w:rsidR="000E51E9">
        <w:rPr>
          <w:rFonts w:ascii="CG Times" w:hAnsi="CG Times"/>
          <w:b/>
          <w:szCs w:val="24"/>
        </w:rPr>
        <w:tab/>
      </w:r>
      <w:r w:rsidR="00DC6D8A">
        <w:rPr>
          <w:rFonts w:ascii="CG Times" w:hAnsi="CG Times"/>
          <w:b/>
          <w:szCs w:val="24"/>
        </w:rPr>
        <w:t>Buffer Areas Required</w:t>
      </w:r>
    </w:p>
    <w:p w:rsidR="00DC6D8A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10.509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High Density Option</w:t>
      </w:r>
      <w:r>
        <w:rPr>
          <w:rFonts w:ascii="CG Times" w:hAnsi="CG Times"/>
          <w:b/>
          <w:szCs w:val="24"/>
        </w:rPr>
        <w:tab/>
      </w:r>
    </w:p>
    <w:p w:rsidR="000E51E9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  <w:t xml:space="preserve">            10.608</w:t>
      </w:r>
      <w:r w:rsidR="000E51E9">
        <w:rPr>
          <w:rFonts w:ascii="CG Times" w:hAnsi="CG Times"/>
          <w:b/>
          <w:szCs w:val="24"/>
        </w:rPr>
        <w:t xml:space="preserve">  </w:t>
      </w:r>
      <w:r w:rsidR="000E51E9"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>Buffer areas required</w:t>
      </w:r>
    </w:p>
    <w:p w:rsidR="00DC6D8A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10.609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High Density Option</w:t>
      </w:r>
    </w:p>
    <w:p w:rsidR="00DC6D8A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10.704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Lower Lake Wylie Watershed Overlay District Subareas established</w:t>
      </w:r>
    </w:p>
    <w:p w:rsidR="00DC6D8A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10.708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Buffer areas required</w:t>
      </w:r>
    </w:p>
    <w:p w:rsidR="00DC6D8A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10.709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Mitigation</w:t>
      </w:r>
    </w:p>
    <w:p w:rsidR="00DC6D8A" w:rsidRDefault="00DC6D8A" w:rsidP="009045AE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10.710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High Density Option</w:t>
      </w:r>
    </w:p>
    <w:p w:rsidR="00DC6D8A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12.603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Standards for plan approval</w:t>
      </w:r>
    </w:p>
    <w:p w:rsidR="00DC6D8A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12.804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Buffer Standards</w:t>
      </w:r>
    </w:p>
    <w:p w:rsidR="00DC6D8A" w:rsidRDefault="00DC6D8A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12.806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Mitigation</w:t>
      </w:r>
    </w:p>
    <w:p w:rsidR="009045AE" w:rsidRDefault="009045AE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Chapter 12, Part 9: Other Applicable City Code Land Development Provisions</w:t>
      </w:r>
    </w:p>
    <w:p w:rsidR="000E51E9" w:rsidRDefault="000E51E9" w:rsidP="000352D6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 xml:space="preserve">                             </w:t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</w:t>
      </w:r>
      <w:r w:rsidR="00424F81">
        <w:rPr>
          <w:rFonts w:ascii="CG Times" w:hAnsi="CG Times"/>
          <w:b/>
          <w:szCs w:val="24"/>
          <w:u w:val="single"/>
        </w:rPr>
        <w:t>s</w:t>
      </w:r>
      <w:r w:rsidRPr="001845F6">
        <w:rPr>
          <w:rFonts w:ascii="CG Times" w:hAnsi="CG Times"/>
          <w:b/>
          <w:szCs w:val="24"/>
          <w:u w:val="single"/>
        </w:rPr>
        <w:t>:</w:t>
      </w: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0E51E9" w:rsidRDefault="00424F81" w:rsidP="00A659E4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Reflect changes in buffer enforcement from Mecklenburg County Department of Environmental Protection to Charlotte-Mecklenburg Storm Water Services</w:t>
      </w:r>
      <w:r w:rsidR="003E4CC3">
        <w:rPr>
          <w:rFonts w:ascii="CG Times" w:hAnsi="CG Times"/>
          <w:szCs w:val="24"/>
        </w:rPr>
        <w:t>.</w:t>
      </w:r>
      <w:r>
        <w:rPr>
          <w:rFonts w:ascii="CG Times" w:hAnsi="CG Times"/>
          <w:szCs w:val="24"/>
        </w:rPr>
        <w:t xml:space="preserve">  County Storm Water staff will continue to review and enforce buffers on single family lots and along </w:t>
      </w:r>
      <w:proofErr w:type="gramStart"/>
      <w:r>
        <w:rPr>
          <w:rFonts w:ascii="CG Times" w:hAnsi="CG Times"/>
          <w:szCs w:val="24"/>
        </w:rPr>
        <w:t>lake frontage</w:t>
      </w:r>
      <w:proofErr w:type="gramEnd"/>
      <w:r>
        <w:rPr>
          <w:rFonts w:ascii="CG Times" w:hAnsi="CG Times"/>
          <w:szCs w:val="24"/>
        </w:rPr>
        <w:t xml:space="preserve"> (b</w:t>
      </w:r>
      <w:r w:rsidR="00EF67C8">
        <w:rPr>
          <w:rFonts w:ascii="CG Times" w:hAnsi="CG Times"/>
          <w:szCs w:val="24"/>
        </w:rPr>
        <w:t>asically any applications currently submitted</w:t>
      </w:r>
      <w:r>
        <w:rPr>
          <w:rFonts w:ascii="CG Times" w:hAnsi="CG Times"/>
          <w:szCs w:val="24"/>
        </w:rPr>
        <w:t xml:space="preserve"> through Building Standards).  City Storm Water staff will now review and enforce buffers on any plans submitted to the City for Land Development review.  This is a customer service enhancement </w:t>
      </w:r>
      <w:r w:rsidR="00C30493">
        <w:rPr>
          <w:rFonts w:ascii="CG Times" w:hAnsi="CG Times"/>
          <w:szCs w:val="24"/>
        </w:rPr>
        <w:t xml:space="preserve">in an effort </w:t>
      </w:r>
      <w:r>
        <w:rPr>
          <w:rFonts w:ascii="CG Times" w:hAnsi="CG Times"/>
          <w:szCs w:val="24"/>
        </w:rPr>
        <w:t>to provide one-stop permit review for storm water/water quality requirements.</w:t>
      </w:r>
    </w:p>
    <w:p w:rsidR="000E51E9" w:rsidRDefault="000E51E9" w:rsidP="00A659E4">
      <w:pPr>
        <w:ind w:left="303" w:right="72"/>
        <w:rPr>
          <w:rFonts w:ascii="CG Times" w:hAnsi="CG Times"/>
          <w:szCs w:val="24"/>
        </w:rPr>
      </w:pPr>
    </w:p>
    <w:p w:rsidR="00DC14CA" w:rsidRDefault="00004F44" w:rsidP="00A659E4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Change references</w:t>
      </w:r>
      <w:r w:rsidR="00424F81">
        <w:rPr>
          <w:rFonts w:ascii="CG Times" w:hAnsi="CG Times"/>
          <w:szCs w:val="24"/>
        </w:rPr>
        <w:t xml:space="preserve"> in design standards from </w:t>
      </w:r>
      <w:r w:rsidR="00424F81" w:rsidRPr="00EF67C8">
        <w:rPr>
          <w:rFonts w:ascii="CG Times" w:hAnsi="CG Times"/>
          <w:szCs w:val="24"/>
          <w:u w:val="single"/>
        </w:rPr>
        <w:t>Charlotte-Mecklenburg Land Development Standards Manual</w:t>
      </w:r>
      <w:r w:rsidR="00424F81">
        <w:rPr>
          <w:rFonts w:ascii="CG Times" w:hAnsi="CG Times"/>
          <w:szCs w:val="24"/>
        </w:rPr>
        <w:t xml:space="preserve"> to </w:t>
      </w:r>
      <w:r w:rsidR="00424F81" w:rsidRPr="00EF67C8">
        <w:rPr>
          <w:rFonts w:ascii="CG Times" w:hAnsi="CG Times"/>
          <w:szCs w:val="24"/>
          <w:u w:val="single"/>
        </w:rPr>
        <w:t>Charlotte Land Development Standards Manual</w:t>
      </w:r>
      <w:r w:rsidR="00424F81">
        <w:rPr>
          <w:rFonts w:ascii="CG Times" w:hAnsi="CG Times"/>
          <w:szCs w:val="24"/>
        </w:rPr>
        <w:t>.</w:t>
      </w:r>
      <w:r>
        <w:rPr>
          <w:rFonts w:ascii="CG Times" w:hAnsi="CG Times"/>
          <w:szCs w:val="24"/>
        </w:rPr>
        <w:t xml:space="preserve">  Change references in design requirements from North Carolina Division of Water Quality to the latest revision of the </w:t>
      </w:r>
      <w:r w:rsidRPr="00004F44">
        <w:rPr>
          <w:rFonts w:ascii="CG Times" w:hAnsi="CG Times"/>
          <w:szCs w:val="24"/>
          <w:u w:val="single"/>
        </w:rPr>
        <w:t>Charlotte-Mecklenburg BMP Design Manual</w:t>
      </w:r>
      <w:r>
        <w:rPr>
          <w:rFonts w:ascii="CG Times" w:hAnsi="CG Times"/>
          <w:szCs w:val="24"/>
        </w:rPr>
        <w:t>.</w:t>
      </w:r>
    </w:p>
    <w:p w:rsidR="003E4CC3" w:rsidRDefault="003E4CC3" w:rsidP="00A659E4">
      <w:pPr>
        <w:ind w:left="303" w:right="72"/>
        <w:rPr>
          <w:rFonts w:ascii="CG Times" w:hAnsi="CG Times"/>
          <w:szCs w:val="24"/>
        </w:rPr>
      </w:pPr>
    </w:p>
    <w:p w:rsidR="003E4CC3" w:rsidRDefault="00424F81" w:rsidP="00A659E4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Add text to the detention ordinance</w:t>
      </w:r>
      <w:r w:rsidR="00EF67C8">
        <w:rPr>
          <w:rFonts w:ascii="CG Times" w:hAnsi="CG Times"/>
          <w:szCs w:val="24"/>
        </w:rPr>
        <w:t xml:space="preserve"> to reflect changes required by</w:t>
      </w:r>
      <w:r>
        <w:rPr>
          <w:rFonts w:ascii="CG Times" w:hAnsi="CG Times"/>
          <w:szCs w:val="24"/>
        </w:rPr>
        <w:t xml:space="preserve"> the Post Construction </w:t>
      </w:r>
      <w:proofErr w:type="spellStart"/>
      <w:r>
        <w:rPr>
          <w:rFonts w:ascii="CG Times" w:hAnsi="CG Times"/>
          <w:szCs w:val="24"/>
        </w:rPr>
        <w:t>Stormwater</w:t>
      </w:r>
      <w:proofErr w:type="spellEnd"/>
      <w:r>
        <w:rPr>
          <w:rFonts w:ascii="CG Times" w:hAnsi="CG Times"/>
          <w:szCs w:val="24"/>
        </w:rPr>
        <w:t xml:space="preserve"> Ordinance.</w:t>
      </w:r>
    </w:p>
    <w:p w:rsidR="000E51E9" w:rsidRPr="001845F6" w:rsidRDefault="000E51E9" w:rsidP="00A659E4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</w:t>
      </w:r>
      <w:r w:rsidR="00EF67C8">
        <w:rPr>
          <w:rFonts w:ascii="CG Times" w:hAnsi="CG Times"/>
          <w:sz w:val="20"/>
        </w:rPr>
        <w:t>Storm Water Services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207F89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EF67C8">
        <w:rPr>
          <w:rFonts w:ascii="CG Times" w:hAnsi="CG Times"/>
          <w:sz w:val="20"/>
        </w:rPr>
        <w:t>600 East Fourth Street, Fourteen</w:t>
      </w:r>
      <w:r w:rsidR="001012CA" w:rsidRPr="00D201D3">
        <w:rPr>
          <w:rFonts w:ascii="CG Times" w:hAnsi="CG Times"/>
          <w:sz w:val="20"/>
        </w:rPr>
        <w:t>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207F89">
      <w:pPr>
        <w:ind w:left="303" w:right="72"/>
        <w:rPr>
          <w:rFonts w:ascii="CG Times" w:hAnsi="CG Times"/>
          <w:i/>
          <w:sz w:val="18"/>
        </w:rPr>
      </w:pPr>
      <w:r w:rsidRPr="00207F89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proofErr w:type="gramStart"/>
      <w:r w:rsidR="001012CA" w:rsidRPr="00D201D3">
        <w:rPr>
          <w:rFonts w:ascii="CG Times" w:hAnsi="CG Times"/>
          <w:sz w:val="20"/>
        </w:rPr>
        <w:t>Carolina  28202</w:t>
      </w:r>
      <w:proofErr w:type="gramEnd"/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207F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207F89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EF67C8">
        <w:rPr>
          <w:rFonts w:ascii="CG Times" w:hAnsi="CG Times"/>
          <w:sz w:val="20"/>
        </w:rPr>
        <w:t>704-432-5570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EF67C8">
        <w:rPr>
          <w:rFonts w:ascii="CG Times" w:hAnsi="CG Times"/>
          <w:sz w:val="20"/>
        </w:rPr>
        <w:t>6586</w:t>
      </w:r>
      <w:r w:rsidR="001012CA">
        <w:rPr>
          <w:rFonts w:ascii="CG Times" w:hAnsi="CG Times"/>
          <w:sz w:val="20"/>
        </w:rPr>
        <w:tab/>
      </w:r>
    </w:p>
    <w:p w:rsidR="00F71BFB" w:rsidRDefault="00207F89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EF67C8">
        <w:rPr>
          <w:rFonts w:ascii="CG Times" w:hAnsi="CG Times"/>
          <w:sz w:val="20"/>
        </w:rPr>
        <w:t>mmacintyre@charlotte</w:t>
      </w:r>
      <w:r w:rsidR="001012CA" w:rsidRPr="00D201D3">
        <w:rPr>
          <w:rFonts w:ascii="CG Times" w:hAnsi="CG Times"/>
          <w:sz w:val="20"/>
        </w:rPr>
        <w:t>nc.</w:t>
      </w:r>
      <w:r w:rsidR="00EF67C8">
        <w:rPr>
          <w:rFonts w:ascii="CG Times" w:hAnsi="CG Times"/>
          <w:sz w:val="20"/>
        </w:rPr>
        <w:t>gov</w:t>
      </w:r>
    </w:p>
    <w:p w:rsidR="00F71BFB" w:rsidRDefault="00207F89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13" w:rsidRDefault="002F2D13" w:rsidP="004438A5">
      <w:r>
        <w:separator/>
      </w:r>
    </w:p>
  </w:endnote>
  <w:endnote w:type="continuationSeparator" w:id="0">
    <w:p w:rsidR="002F2D13" w:rsidRDefault="002F2D13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13" w:rsidRDefault="002F2D13" w:rsidP="004438A5">
      <w:r>
        <w:separator/>
      </w:r>
    </w:p>
  </w:footnote>
  <w:footnote w:type="continuationSeparator" w:id="0">
    <w:p w:rsidR="002F2D13" w:rsidRDefault="002F2D13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04F44"/>
    <w:rsid w:val="000352D6"/>
    <w:rsid w:val="000A68E0"/>
    <w:rsid w:val="000E51E9"/>
    <w:rsid w:val="001012CA"/>
    <w:rsid w:val="001071A6"/>
    <w:rsid w:val="001461A6"/>
    <w:rsid w:val="001845F6"/>
    <w:rsid w:val="001B1CA1"/>
    <w:rsid w:val="00207F89"/>
    <w:rsid w:val="00273683"/>
    <w:rsid w:val="00296634"/>
    <w:rsid w:val="002B29E1"/>
    <w:rsid w:val="002C36FC"/>
    <w:rsid w:val="002F2D13"/>
    <w:rsid w:val="00315C0C"/>
    <w:rsid w:val="00326876"/>
    <w:rsid w:val="003A7AB0"/>
    <w:rsid w:val="003B7136"/>
    <w:rsid w:val="003E18BE"/>
    <w:rsid w:val="003E4CC3"/>
    <w:rsid w:val="00424F81"/>
    <w:rsid w:val="0044227D"/>
    <w:rsid w:val="004438A5"/>
    <w:rsid w:val="00464834"/>
    <w:rsid w:val="004B7083"/>
    <w:rsid w:val="0052538C"/>
    <w:rsid w:val="00535771"/>
    <w:rsid w:val="00556253"/>
    <w:rsid w:val="00565D24"/>
    <w:rsid w:val="00580722"/>
    <w:rsid w:val="0059559C"/>
    <w:rsid w:val="005B02D7"/>
    <w:rsid w:val="005C2E46"/>
    <w:rsid w:val="00723724"/>
    <w:rsid w:val="0079273B"/>
    <w:rsid w:val="007B3BCC"/>
    <w:rsid w:val="007D1F18"/>
    <w:rsid w:val="00806179"/>
    <w:rsid w:val="008A0DA3"/>
    <w:rsid w:val="008B5F8A"/>
    <w:rsid w:val="008E2636"/>
    <w:rsid w:val="009045AE"/>
    <w:rsid w:val="00946BB6"/>
    <w:rsid w:val="009651BF"/>
    <w:rsid w:val="00986673"/>
    <w:rsid w:val="009979DC"/>
    <w:rsid w:val="009B17E1"/>
    <w:rsid w:val="009F225E"/>
    <w:rsid w:val="00A24ADF"/>
    <w:rsid w:val="00A659E4"/>
    <w:rsid w:val="00A73EE2"/>
    <w:rsid w:val="00A9278D"/>
    <w:rsid w:val="00AE4A77"/>
    <w:rsid w:val="00AF690E"/>
    <w:rsid w:val="00B8412D"/>
    <w:rsid w:val="00BE0A92"/>
    <w:rsid w:val="00BE1D65"/>
    <w:rsid w:val="00C30493"/>
    <w:rsid w:val="00C4677D"/>
    <w:rsid w:val="00C52C04"/>
    <w:rsid w:val="00CB292B"/>
    <w:rsid w:val="00D201D3"/>
    <w:rsid w:val="00D354E2"/>
    <w:rsid w:val="00DB189A"/>
    <w:rsid w:val="00DC14CA"/>
    <w:rsid w:val="00DC39CA"/>
    <w:rsid w:val="00DC6D8A"/>
    <w:rsid w:val="00E1004A"/>
    <w:rsid w:val="00E24365"/>
    <w:rsid w:val="00EC773E"/>
    <w:rsid w:val="00ED2479"/>
    <w:rsid w:val="00EF67C8"/>
    <w:rsid w:val="00F2612A"/>
    <w:rsid w:val="00F3259E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26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C11D-A836-40F8-BBCA-143E32FE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2502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2011-01-06T18:19:00Z</cp:lastPrinted>
  <dcterms:created xsi:type="dcterms:W3CDTF">2011-01-06T18:19:00Z</dcterms:created>
  <dcterms:modified xsi:type="dcterms:W3CDTF">2011-01-06T18:19:00Z</dcterms:modified>
</cp:coreProperties>
</file>