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87386F">
        <w:rPr>
          <w:rFonts w:ascii="Times New Roman" w:hAnsi="Times New Roman"/>
          <w:sz w:val="22"/>
          <w:szCs w:val="22"/>
        </w:rPr>
        <w:t>2-7</w:t>
      </w:r>
      <w:bookmarkStart w:id="0" w:name="_GoBack"/>
      <w:bookmarkEnd w:id="0"/>
      <w:r w:rsidR="0035460D">
        <w:rPr>
          <w:rFonts w:ascii="Times New Roman" w:hAnsi="Times New Roman"/>
          <w:sz w:val="22"/>
          <w:szCs w:val="22"/>
        </w:rPr>
        <w:t>-</w:t>
      </w:r>
      <w:r w:rsidR="001E2F06" w:rsidRPr="007056FB">
        <w:rPr>
          <w:rFonts w:ascii="Times New Roman" w:hAnsi="Times New Roman"/>
          <w:sz w:val="22"/>
          <w:szCs w:val="22"/>
        </w:rPr>
        <w:t>1</w:t>
      </w:r>
      <w:r w:rsidR="001E2F06">
        <w:rPr>
          <w:rFonts w:ascii="Times New Roman" w:hAnsi="Times New Roman"/>
          <w:sz w:val="22"/>
          <w:szCs w:val="22"/>
        </w:rPr>
        <w:t>4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Pr="006F3EF4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9.204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(single 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9.304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permitted under prescribed conditions)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9.405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accessory structures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9.504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(institutional district)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9.603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9.604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(research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9.704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accessory uses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Uptown mixed use district; accessory uses</w:t>
      </w:r>
    </w:p>
    <w:p w:rsidR="00C606C6" w:rsidRDefault="00C606C6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C606C6" w:rsidRPr="006F3EF4" w:rsidRDefault="00C606C6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permitted accessory uses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9.1103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63431F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9.1104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(industrial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9.1206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Accessory uses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11.204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(mixed-use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11.303A</w:t>
      </w:r>
      <w:r w:rsidR="00A174A8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(manufactured housing district) (NEW)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(research districts)</w:t>
      </w:r>
    </w:p>
    <w:p w:rsidR="00FE4623" w:rsidRPr="006F3EF4" w:rsidRDefault="001E2F06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12.547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Mobile Farmer’s Market (NEW)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</w:r>
      <w:r w:rsidR="00843D2B" w:rsidRPr="006F3EF4">
        <w:rPr>
          <w:rFonts w:ascii="CG Times" w:hAnsi="CG Times"/>
          <w:b/>
          <w:sz w:val="20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1E2F06" w:rsidRPr="006F3EF4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grocery market”, 2) allowing mobile grocery markets in </w:t>
      </w:r>
      <w:r w:rsidR="00C606C6">
        <w:rPr>
          <w:rFonts w:ascii="CG Times" w:hAnsi="CG Times"/>
          <w:sz w:val="20"/>
        </w:rPr>
        <w:t>all</w:t>
      </w:r>
      <w:r w:rsidR="006B6FF3" w:rsidRPr="006F3EF4">
        <w:rPr>
          <w:rFonts w:ascii="CG Times" w:hAnsi="CG Times"/>
          <w:sz w:val="20"/>
        </w:rPr>
        <w:t xml:space="preserve"> zoning districts, under prescribed conditions, and 3) adding prescribed conditions for mobile grocery markets</w:t>
      </w:r>
      <w:r w:rsidR="0061536C" w:rsidRPr="006F3EF4">
        <w:rPr>
          <w:rFonts w:ascii="CG Times" w:hAnsi="CG Times"/>
          <w:sz w:val="20"/>
        </w:rPr>
        <w:t>.</w:t>
      </w: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5F8A"/>
    <w:rsid w:val="008E1885"/>
    <w:rsid w:val="008E2636"/>
    <w:rsid w:val="008E5181"/>
    <w:rsid w:val="008F1CC5"/>
    <w:rsid w:val="00907AEC"/>
    <w:rsid w:val="00946BB6"/>
    <w:rsid w:val="009651BF"/>
    <w:rsid w:val="00986673"/>
    <w:rsid w:val="009979DC"/>
    <w:rsid w:val="009A6F74"/>
    <w:rsid w:val="009B17E1"/>
    <w:rsid w:val="009B5FB3"/>
    <w:rsid w:val="00A174A8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06C6"/>
    <w:rsid w:val="00C67379"/>
    <w:rsid w:val="00C87806"/>
    <w:rsid w:val="00CA5A06"/>
    <w:rsid w:val="00CB292B"/>
    <w:rsid w:val="00CB5D01"/>
    <w:rsid w:val="00D13CEC"/>
    <w:rsid w:val="00D201D3"/>
    <w:rsid w:val="00DA5BB1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394C-7AF5-4125-A687-C41C250B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3294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5</cp:revision>
  <cp:lastPrinted>2014-02-07T18:30:00Z</cp:lastPrinted>
  <dcterms:created xsi:type="dcterms:W3CDTF">2014-02-06T18:17:00Z</dcterms:created>
  <dcterms:modified xsi:type="dcterms:W3CDTF">2014-02-07T18:34:00Z</dcterms:modified>
</cp:coreProperties>
</file>